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66239" w14:textId="77777777" w:rsidR="00B3798B" w:rsidRDefault="00B3798B">
      <w:pPr>
        <w:ind w:left="1560" w:right="1416"/>
        <w:rPr>
          <w:rFonts w:cstheme="minorHAnsi"/>
          <w:sz w:val="24"/>
          <w:szCs w:val="24"/>
        </w:rPr>
      </w:pPr>
    </w:p>
    <w:p w14:paraId="2892F1F6" w14:textId="77777777" w:rsidR="00B3798B" w:rsidRDefault="00DB575B">
      <w:pPr>
        <w:pStyle w:val="Default"/>
        <w:ind w:left="2410" w:hanging="2410"/>
        <w:rPr>
          <w:rFonts w:ascii="Calibri" w:hAnsi="Calibri" w:cs="Calibri"/>
          <w:b/>
          <w:bCs/>
          <w:sz w:val="28"/>
          <w:szCs w:val="28"/>
        </w:rPr>
      </w:pPr>
      <w:bookmarkStart w:id="0" w:name="_Hlk507682348"/>
      <w:bookmarkStart w:id="1" w:name="_Hlk507489280"/>
      <w:bookmarkStart w:id="2" w:name="_Hlk32771180"/>
      <w:r>
        <w:rPr>
          <w:rFonts w:ascii="Calibri" w:hAnsi="Calibri" w:cs="Calibri"/>
          <w:b/>
          <w:caps/>
          <w:sz w:val="28"/>
          <w:szCs w:val="28"/>
        </w:rPr>
        <w:t xml:space="preserve">Veřejná zakázka – </w:t>
      </w:r>
      <w:r>
        <w:rPr>
          <w:rFonts w:ascii="Calibri" w:hAnsi="Calibri" w:cs="Calibri"/>
          <w:b/>
          <w:sz w:val="28"/>
          <w:szCs w:val="28"/>
        </w:rPr>
        <w:t>Oprava parterů – Joštova 3, Kobližná 9, Koliště 29, Květinářská 2  a Masarykova 14</w:t>
      </w:r>
      <w:r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14:paraId="28592842" w14:textId="77777777" w:rsidR="00B3798B" w:rsidRDefault="00B3798B">
      <w:pPr>
        <w:pStyle w:val="Default"/>
        <w:rPr>
          <w:rFonts w:ascii="Topol" w:hAnsi="Topol" w:cs="Topol"/>
        </w:rPr>
      </w:pPr>
    </w:p>
    <w:p w14:paraId="7F6A4729" w14:textId="77777777" w:rsidR="00B3798B" w:rsidRDefault="00DB575B">
      <w:pPr>
        <w:pStyle w:val="Nadpis6"/>
        <w:spacing w:before="0" w:line="240" w:lineRule="auto"/>
        <w:rPr>
          <w:rFonts w:asciiTheme="minorHAnsi" w:hAnsiTheme="minorHAnsi" w:cstheme="minorHAnsi"/>
          <w:b/>
          <w:i/>
          <w:caps/>
          <w:color w:val="auto"/>
          <w:sz w:val="28"/>
          <w:szCs w:val="28"/>
        </w:rPr>
      </w:pPr>
      <w:bookmarkStart w:id="3" w:name="_Hlk48334256"/>
      <w:r>
        <w:rPr>
          <w:rFonts w:asciiTheme="minorHAnsi" w:hAnsiTheme="minorHAnsi" w:cstheme="minorHAnsi"/>
          <w:b/>
          <w:caps/>
          <w:color w:val="auto"/>
          <w:sz w:val="28"/>
          <w:szCs w:val="28"/>
        </w:rPr>
        <w:t xml:space="preserve">ŽÁDOST O Dodatečné informace k zadávací dokumentaci </w:t>
      </w:r>
    </w:p>
    <w:bookmarkEnd w:id="3"/>
    <w:p w14:paraId="2B38F245" w14:textId="77777777" w:rsidR="00B3798B" w:rsidRDefault="00B3798B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14:paraId="42B31D01" w14:textId="77777777" w:rsidR="00B3798B" w:rsidRDefault="00DB575B">
      <w:pPr>
        <w:pStyle w:val="Zkladntextodsazen"/>
        <w:spacing w:after="0" w:line="240" w:lineRule="auto"/>
        <w:ind w:left="0"/>
        <w:jc w:val="both"/>
        <w:rPr>
          <w:rFonts w:cstheme="minorHAnsi"/>
          <w:b/>
          <w:bCs/>
        </w:rPr>
      </w:pPr>
      <w:bookmarkStart w:id="4" w:name="_Hlk25852739"/>
      <w:r>
        <w:rPr>
          <w:rFonts w:cstheme="minorHAnsi"/>
          <w:b/>
          <w:bCs/>
        </w:rPr>
        <w:t xml:space="preserve">V souladu s podmínkami soutěže Vás žádáme o poskytnutí dodatečných </w:t>
      </w:r>
      <w:r>
        <w:rPr>
          <w:rFonts w:cstheme="minorHAnsi"/>
          <w:b/>
          <w:bCs/>
        </w:rPr>
        <w:t>informací (vysvětlení) k zadávací dokumentaci:</w:t>
      </w:r>
    </w:p>
    <w:p w14:paraId="6C6C8454" w14:textId="77777777" w:rsidR="00B3798B" w:rsidRDefault="00DB575B">
      <w:pPr>
        <w:pStyle w:val="Zkladntextodsazen"/>
        <w:spacing w:after="0" w:line="240" w:lineRule="auto"/>
        <w:ind w:left="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Dotaz č. 1 </w:t>
      </w:r>
    </w:p>
    <w:p w14:paraId="1A1D89F9" w14:textId="77777777" w:rsidR="00B3798B" w:rsidRDefault="00DB575B">
      <w:pPr>
        <w:jc w:val="both"/>
        <w:rPr>
          <w:rFonts w:cstheme="minorHAnsi"/>
        </w:rPr>
      </w:pPr>
      <w:r>
        <w:rPr>
          <w:rFonts w:cstheme="minorHAnsi"/>
        </w:rPr>
        <w:t>V položkách výkazu výměr jsme při zpracování nabídky narazili na nesrovnalosti a nejasnosti, jejichž vysvětlení považujeme za podstatné pro stanovení ceny. Položky nejsou dostatečně specifikovány v</w:t>
      </w:r>
      <w:r>
        <w:rPr>
          <w:rFonts w:cstheme="minorHAnsi"/>
        </w:rPr>
        <w:t xml:space="preserve"> podrobnostech nezbytných pro jejich ocenění. Zadavatel tím přenáší odpovědnost za správnost a úplnost zadávacích podmínek na dodavatele. Za vypracování výkazu výměr a specifikaci položek zodpovídá dle zákona zadavatel. Tyto položky neodpovídají požadavkům</w:t>
      </w:r>
      <w:r>
        <w:rPr>
          <w:rFonts w:cstheme="minorHAnsi"/>
        </w:rPr>
        <w:t xml:space="preserve"> vyhlášky 169/2016/Sb. – specifikace a množství neumožňují porovnatelné ocenění položky.</w:t>
      </w:r>
    </w:p>
    <w:p w14:paraId="7A42C7E1" w14:textId="77777777" w:rsidR="00B3798B" w:rsidRDefault="00DB575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Jedná se o následující položky ve VV:</w:t>
      </w:r>
    </w:p>
    <w:tbl>
      <w:tblPr>
        <w:tblW w:w="101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1344"/>
        <w:gridCol w:w="4264"/>
        <w:gridCol w:w="621"/>
        <w:gridCol w:w="961"/>
        <w:gridCol w:w="2459"/>
      </w:tblGrid>
      <w:tr w:rsidR="00B3798B" w14:paraId="27B4AC54" w14:textId="77777777">
        <w:trPr>
          <w:trHeight w:val="91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bottom"/>
            <w:hideMark/>
          </w:tcPr>
          <w:p w14:paraId="6EFB0C4E" w14:textId="77777777" w:rsidR="00B3798B" w:rsidRDefault="00DB57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cs-CZ"/>
              </w:rPr>
              <w:t>P.č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cs-CZ"/>
              </w:rPr>
              <w:t>.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bottom"/>
            <w:hideMark/>
          </w:tcPr>
          <w:p w14:paraId="3013F90F" w14:textId="77777777" w:rsidR="00B3798B" w:rsidRDefault="00DB57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Číslo položky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bottom"/>
            <w:hideMark/>
          </w:tcPr>
          <w:p w14:paraId="09467D82" w14:textId="77777777" w:rsidR="00B3798B" w:rsidRDefault="00DB57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Název položky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bottom"/>
            <w:hideMark/>
          </w:tcPr>
          <w:p w14:paraId="70499B85" w14:textId="77777777" w:rsidR="00B3798B" w:rsidRDefault="00DB57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MJ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bottom"/>
            <w:hideMark/>
          </w:tcPr>
          <w:p w14:paraId="52E03F77" w14:textId="77777777" w:rsidR="00B3798B" w:rsidRDefault="00DB57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Množství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BDBDB"/>
            <w:vAlign w:val="bottom"/>
            <w:hideMark/>
          </w:tcPr>
          <w:p w14:paraId="7FEFA5B2" w14:textId="77777777" w:rsidR="00B3798B" w:rsidRDefault="00DB5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lang w:eastAsia="cs-CZ"/>
              </w:rPr>
              <w:t>Požadavek na doplnění a vysvětlení</w:t>
            </w:r>
          </w:p>
        </w:tc>
      </w:tr>
      <w:tr w:rsidR="00B3798B" w14:paraId="6C4A00C6" w14:textId="77777777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943E65C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R: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1CE93B14" w14:textId="77777777" w:rsidR="00B3798B" w:rsidRDefault="00DB5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01.1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3A8C3812" w14:textId="77777777" w:rsidR="00B3798B" w:rsidRDefault="00DB5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Masarykova Bourané konstrukce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304FE128" w14:textId="77777777" w:rsidR="00B3798B" w:rsidRDefault="00DB5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center"/>
            <w:hideMark/>
          </w:tcPr>
          <w:p w14:paraId="037D947A" w14:textId="77777777" w:rsidR="00B3798B" w:rsidRDefault="00DB5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center"/>
            <w:hideMark/>
          </w:tcPr>
          <w:p w14:paraId="03B5B0BD" w14:textId="77777777" w:rsidR="00B3798B" w:rsidRDefault="00DB57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D9E1F2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D9E1F2"/>
                <w:lang w:eastAsia="cs-CZ"/>
              </w:rPr>
              <w:t>obj</w:t>
            </w:r>
            <w:proofErr w:type="spellEnd"/>
          </w:p>
        </w:tc>
      </w:tr>
      <w:tr w:rsidR="00B3798B" w14:paraId="68153DED" w14:textId="77777777">
        <w:trPr>
          <w:trHeight w:val="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hideMark/>
          </w:tcPr>
          <w:p w14:paraId="6E0C9C05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Díl: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4CA61D3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767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hideMark/>
          </w:tcPr>
          <w:p w14:paraId="1317DF28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Bourání konstrukcí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5D8AC9E" w14:textId="77777777" w:rsidR="00B3798B" w:rsidRDefault="00DB575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3462EDE2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524CD1B0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color w:val="D9D9D9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color w:val="D9D9D9"/>
                <w:sz w:val="20"/>
                <w:szCs w:val="20"/>
                <w:lang w:eastAsia="cs-CZ"/>
              </w:rPr>
              <w:t>d</w:t>
            </w:r>
          </w:p>
        </w:tc>
      </w:tr>
      <w:tr w:rsidR="00B3798B" w14:paraId="2AA6D26D" w14:textId="77777777">
        <w:trPr>
          <w:trHeight w:val="4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11F5AA02" w14:textId="77777777" w:rsidR="00B3798B" w:rsidRDefault="00DB575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1887BA56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7679968X1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2A044425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Demontáž drobných prvků</w:t>
            </w:r>
          </w:p>
          <w:p w14:paraId="00B6FD30" w14:textId="77777777" w:rsidR="00B3798B" w:rsidRDefault="00B3798B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071BC154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V</w:t>
            </w:r>
            <w:r>
              <w:rPr>
                <w:rFonts w:ascii="Arial CE" w:eastAsia="Times New Roman" w:hAnsi="Arial CE" w:cs="Arial" w:hint="eastAsia"/>
                <w:b/>
                <w:color w:val="0070C0"/>
                <w:sz w:val="20"/>
                <w:szCs w:val="20"/>
                <w:lang w:eastAsia="cs-CZ"/>
              </w:rPr>
              <w:t> </w:t>
            </w: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mezičase mezi zpracováním PD a současností došlo k</w:t>
            </w:r>
            <w:r>
              <w:rPr>
                <w:rFonts w:ascii="Arial CE" w:eastAsia="Times New Roman" w:hAnsi="Arial CE" w:cs="Arial" w:hint="eastAsia"/>
                <w:b/>
                <w:color w:val="0070C0"/>
                <w:sz w:val="20"/>
                <w:szCs w:val="20"/>
                <w:lang w:eastAsia="cs-CZ"/>
              </w:rPr>
              <w:t> </w:t>
            </w: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očištění fasády; položka je proto ve výkazu/soupisu zadána množstvím 0.</w:t>
            </w:r>
          </w:p>
          <w:p w14:paraId="4ED47168" w14:textId="77777777" w:rsidR="00B3798B" w:rsidRDefault="00B3798B">
            <w:pPr>
              <w:spacing w:after="0" w:line="240" w:lineRule="auto"/>
              <w:rPr>
                <w:rFonts w:ascii="Arial CE" w:eastAsia="Times New Roman" w:hAnsi="Arial CE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470F8978" w14:textId="77777777" w:rsidR="00B3798B" w:rsidRDefault="00DB575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kpl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3A19AB4B" w14:textId="77777777" w:rsidR="00B3798B" w:rsidRDefault="00DB575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1,00000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D28E7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  <w:t>specifikace a množství prvků?</w:t>
            </w:r>
          </w:p>
        </w:tc>
      </w:tr>
      <w:tr w:rsidR="00B3798B" w14:paraId="718472EB" w14:textId="77777777">
        <w:trPr>
          <w:trHeight w:val="518"/>
        </w:trPr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9D9D9"/>
            <w:noWrap/>
            <w:hideMark/>
          </w:tcPr>
          <w:p w14:paraId="5CE37564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Díl: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D1B5658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782</w:t>
            </w:r>
          </w:p>
        </w:tc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hideMark/>
          </w:tcPr>
          <w:p w14:paraId="3CCC3FB7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Dokončovací práce - obklady z kamene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02B52FD8" w14:textId="77777777" w:rsidR="00B3798B" w:rsidRDefault="00DB575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7BF91535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hideMark/>
          </w:tcPr>
          <w:p w14:paraId="1DAF84C0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b/>
                <w:bCs/>
                <w:color w:val="D9D9D9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bCs/>
                <w:color w:val="D9D9D9"/>
                <w:sz w:val="20"/>
                <w:szCs w:val="20"/>
                <w:lang w:eastAsia="cs-CZ"/>
              </w:rPr>
              <w:t>d</w:t>
            </w:r>
          </w:p>
        </w:tc>
      </w:tr>
      <w:tr w:rsidR="00B3798B" w14:paraId="152E4625" w14:textId="77777777">
        <w:trPr>
          <w:trHeight w:val="4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013991EB" w14:textId="77777777" w:rsidR="00B3798B" w:rsidRDefault="00DB575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37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189F9142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7821121X11</w:t>
            </w:r>
          </w:p>
        </w:tc>
        <w:tc>
          <w:tcPr>
            <w:tcW w:w="4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14:paraId="3C943CE3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Renovace a doplnění soklového obkladu dle rozsahu PD</w:t>
            </w:r>
          </w:p>
          <w:p w14:paraId="1DF0A061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b/>
                <w:color w:val="7030A0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Myšlen je sokl vnitřní v</w:t>
            </w:r>
            <w:r>
              <w:rPr>
                <w:rFonts w:ascii="Arial CE" w:eastAsia="Times New Roman" w:hAnsi="Arial CE" w:cs="Arial" w:hint="eastAsia"/>
                <w:b/>
                <w:color w:val="0070C0"/>
                <w:sz w:val="20"/>
                <w:szCs w:val="20"/>
                <w:lang w:eastAsia="cs-CZ"/>
              </w:rPr>
              <w:t> </w:t>
            </w: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 xml:space="preserve">chodbě ke </w:t>
            </w:r>
            <w:proofErr w:type="spellStart"/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shodišťové</w:t>
            </w:r>
            <w:proofErr w:type="spellEnd"/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 xml:space="preserve"> hale, popsaný ve </w:t>
            </w:r>
            <w:proofErr w:type="spellStart"/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výspisu</w:t>
            </w:r>
            <w:proofErr w:type="spellEnd"/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 xml:space="preserve"> prvků stávajícího stavu číslem 44. Úpravy jsou popsány poznámkou </w:t>
            </w: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P.07.</w:t>
            </w:r>
          </w:p>
          <w:p w14:paraId="3345652F" w14:textId="77777777" w:rsidR="00B3798B" w:rsidRDefault="00B3798B">
            <w:pPr>
              <w:spacing w:after="0" w:line="240" w:lineRule="auto"/>
              <w:rPr>
                <w:rFonts w:ascii="Arial CE" w:eastAsia="Times New Roman" w:hAnsi="Arial CE" w:cs="Arial"/>
                <w:b/>
                <w:color w:val="7030A0"/>
                <w:sz w:val="20"/>
                <w:szCs w:val="20"/>
                <w:lang w:eastAsia="cs-CZ"/>
              </w:rPr>
            </w:pPr>
          </w:p>
          <w:p w14:paraId="08477B8B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Část se sokl. obkladem stávajícím, navržená k</w:t>
            </w:r>
            <w:r>
              <w:rPr>
                <w:rFonts w:ascii="Arial CE" w:eastAsia="Times New Roman" w:hAnsi="Arial CE" w:cs="Arial" w:hint="eastAsia"/>
                <w:b/>
                <w:color w:val="0070C0"/>
                <w:sz w:val="20"/>
                <w:szCs w:val="20"/>
                <w:lang w:eastAsia="cs-CZ"/>
              </w:rPr>
              <w:t> </w:t>
            </w: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zachování a renovaci = stěny označené číslem 44 v</w:t>
            </w:r>
            <w:r>
              <w:rPr>
                <w:rFonts w:ascii="Arial CE" w:eastAsia="Times New Roman" w:hAnsi="Arial CE" w:cs="Arial" w:hint="eastAsia"/>
                <w:b/>
                <w:color w:val="0070C0"/>
                <w:sz w:val="20"/>
                <w:szCs w:val="20"/>
                <w:lang w:eastAsia="cs-CZ"/>
              </w:rPr>
              <w:t> </w:t>
            </w: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kombinaci s</w:t>
            </w:r>
            <w:r>
              <w:rPr>
                <w:rFonts w:ascii="Arial CE" w:eastAsia="Times New Roman" w:hAnsi="Arial CE" w:cs="Arial" w:hint="eastAsia"/>
                <w:b/>
                <w:color w:val="0070C0"/>
                <w:sz w:val="20"/>
                <w:szCs w:val="20"/>
                <w:lang w:eastAsia="cs-CZ"/>
              </w:rPr>
              <w:t> </w:t>
            </w: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poznámkou P.07</w:t>
            </w:r>
          </w:p>
          <w:p w14:paraId="395B3134" w14:textId="77777777" w:rsidR="00B3798B" w:rsidRDefault="00B3798B">
            <w:pPr>
              <w:spacing w:after="0" w:line="240" w:lineRule="auto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</w:p>
          <w:p w14:paraId="7A7B6A15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Část bez soklového obkladu, navrhovaná k</w:t>
            </w:r>
            <w:r>
              <w:rPr>
                <w:rFonts w:ascii="Arial CE" w:eastAsia="Times New Roman" w:hAnsi="Arial CE" w:cs="Arial" w:hint="eastAsia"/>
                <w:b/>
                <w:color w:val="0070C0"/>
                <w:sz w:val="20"/>
                <w:szCs w:val="20"/>
                <w:lang w:eastAsia="cs-CZ"/>
              </w:rPr>
              <w:t> </w:t>
            </w: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 xml:space="preserve">úpravě soklu novým materiálem shodným se stávajícím ad výše = stěny označené </w:t>
            </w: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poznámkou P.07.</w:t>
            </w:r>
          </w:p>
          <w:p w14:paraId="6BA1B1CB" w14:textId="77777777" w:rsidR="00B3798B" w:rsidRDefault="00B3798B">
            <w:pPr>
              <w:spacing w:after="0" w:line="240" w:lineRule="auto"/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</w:pPr>
          </w:p>
          <w:p w14:paraId="352EB6DA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b/>
                <w:color w:val="7030A0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"/>
                <w:b/>
                <w:color w:val="0070C0"/>
                <w:sz w:val="20"/>
                <w:szCs w:val="20"/>
                <w:lang w:eastAsia="cs-CZ"/>
              </w:rPr>
              <w:t>Množství :  dle TZ, pozn P.07 str.22</w:t>
            </w:r>
          </w:p>
          <w:p w14:paraId="5C2997A5" w14:textId="77777777" w:rsidR="00B3798B" w:rsidRDefault="00B3798B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42AB7599" w14:textId="77777777" w:rsidR="00B3798B" w:rsidRDefault="00B3798B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46CB548F" w14:textId="77777777" w:rsidR="00B3798B" w:rsidRDefault="00B3798B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0177D3F6" w14:textId="77777777" w:rsidR="00B3798B" w:rsidRDefault="00DB575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Kpl</w:t>
            </w:r>
            <w:proofErr w:type="spellEnd"/>
          </w:p>
          <w:p w14:paraId="6D0B27F5" w14:textId="77777777" w:rsidR="00B3798B" w:rsidRDefault="00B3798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6008C68F" w14:textId="77777777" w:rsidR="00B3798B" w:rsidRDefault="00B3798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4BB63830" w14:textId="77777777" w:rsidR="00B3798B" w:rsidRDefault="00B3798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289653EB" w14:textId="77777777" w:rsidR="00B3798B" w:rsidRDefault="00B3798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2A1E26FA" w14:textId="77777777" w:rsidR="00B3798B" w:rsidRDefault="00B3798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61CA1F08" w14:textId="77777777" w:rsidR="00B3798B" w:rsidRDefault="00B3798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22156A6C" w14:textId="77777777" w:rsidR="00B3798B" w:rsidRDefault="00B3798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2AA07605" w14:textId="77777777" w:rsidR="00B3798B" w:rsidRDefault="00B3798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68DC6DEA" w14:textId="77777777" w:rsidR="00B3798B" w:rsidRDefault="00B3798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6B718A83" w14:textId="77777777" w:rsidR="00B3798B" w:rsidRDefault="00B3798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7DDBC1FE" w14:textId="77777777" w:rsidR="00B3798B" w:rsidRDefault="00B3798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72AE1798" w14:textId="77777777" w:rsidR="00B3798B" w:rsidRDefault="00B3798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1BCC18D5" w14:textId="77777777" w:rsidR="00B3798B" w:rsidRDefault="00B3798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7FE16B88" w14:textId="77777777" w:rsidR="00B3798B" w:rsidRDefault="00B3798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05E73D8A" w14:textId="77777777" w:rsidR="00B3798B" w:rsidRDefault="00B3798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133097CD" w14:textId="77777777" w:rsidR="00B3798B" w:rsidRDefault="00B3798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4A3C3D95" w14:textId="77777777" w:rsidR="00B3798B" w:rsidRDefault="00B3798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04135A1E" w14:textId="77777777" w:rsidR="00B3798B" w:rsidRDefault="00B3798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7574F455" w14:textId="77777777" w:rsidR="00B3798B" w:rsidRDefault="00B3798B">
            <w:pPr>
              <w:spacing w:after="0" w:line="240" w:lineRule="auto"/>
              <w:jc w:val="center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22CE4D01" w14:textId="77777777" w:rsidR="00B3798B" w:rsidRDefault="00B3798B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14:paraId="5F6CD709" w14:textId="77777777" w:rsidR="00B3798B" w:rsidRDefault="00DB575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  <w:t>1,00000</w:t>
            </w:r>
          </w:p>
          <w:p w14:paraId="6D824C88" w14:textId="77777777" w:rsidR="00B3798B" w:rsidRDefault="00B3798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3ABEFC8F" w14:textId="77777777" w:rsidR="00B3798B" w:rsidRDefault="00B3798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4BEBDD3B" w14:textId="77777777" w:rsidR="00B3798B" w:rsidRDefault="00B3798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3292EDC3" w14:textId="77777777" w:rsidR="00B3798B" w:rsidRDefault="00B3798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49B816B3" w14:textId="77777777" w:rsidR="00B3798B" w:rsidRDefault="00B3798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364BA818" w14:textId="77777777" w:rsidR="00B3798B" w:rsidRDefault="00B3798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0F7C7D1C" w14:textId="77777777" w:rsidR="00B3798B" w:rsidRDefault="00B3798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35D84D3A" w14:textId="77777777" w:rsidR="00B3798B" w:rsidRDefault="00B3798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46176A6F" w14:textId="77777777" w:rsidR="00B3798B" w:rsidRDefault="00B3798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0B5AFF4A" w14:textId="77777777" w:rsidR="00B3798B" w:rsidRDefault="00B3798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3D0080FE" w14:textId="77777777" w:rsidR="00B3798B" w:rsidRDefault="00B3798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57615236" w14:textId="77777777" w:rsidR="00B3798B" w:rsidRDefault="00B3798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4B9BB576" w14:textId="77777777" w:rsidR="00B3798B" w:rsidRDefault="00B3798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2F8D5386" w14:textId="77777777" w:rsidR="00B3798B" w:rsidRDefault="00B3798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5BCA057C" w14:textId="77777777" w:rsidR="00B3798B" w:rsidRDefault="00B3798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70413CA9" w14:textId="77777777" w:rsidR="00B3798B" w:rsidRDefault="00B3798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11C11EB3" w14:textId="77777777" w:rsidR="00B3798B" w:rsidRDefault="00B3798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38C383E2" w14:textId="77777777" w:rsidR="00B3798B" w:rsidRDefault="00B3798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3FA73A30" w14:textId="77777777" w:rsidR="00B3798B" w:rsidRDefault="00B3798B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  <w:p w14:paraId="0D70090D" w14:textId="77777777" w:rsidR="00B3798B" w:rsidRDefault="00B3798B">
            <w:pPr>
              <w:spacing w:after="0" w:line="240" w:lineRule="auto"/>
              <w:rPr>
                <w:rFonts w:ascii="Arial CE" w:eastAsia="Times New Roman" w:hAnsi="Arial CE" w:cs="Arial"/>
                <w:sz w:val="16"/>
                <w:szCs w:val="16"/>
                <w:lang w:eastAsia="cs-CZ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7E163" w14:textId="77777777" w:rsidR="00B3798B" w:rsidRDefault="00DB575B">
            <w:pPr>
              <w:spacing w:after="0" w:line="240" w:lineRule="auto"/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</w:pPr>
            <w:r>
              <w:rPr>
                <w:rFonts w:ascii="Arial CE" w:eastAsia="Times New Roman" w:hAnsi="Arial CE" w:cs="Arial"/>
                <w:color w:val="FF0000"/>
                <w:sz w:val="16"/>
                <w:szCs w:val="16"/>
                <w:lang w:eastAsia="cs-CZ"/>
              </w:rPr>
              <w:t>specifikace a množství?</w:t>
            </w:r>
          </w:p>
        </w:tc>
      </w:tr>
    </w:tbl>
    <w:p w14:paraId="2B45AF3E" w14:textId="77777777" w:rsidR="00B3798B" w:rsidRDefault="00B3798B">
      <w:pPr>
        <w:spacing w:after="0" w:line="240" w:lineRule="auto"/>
        <w:jc w:val="both"/>
        <w:rPr>
          <w:rFonts w:cstheme="minorHAnsi"/>
        </w:rPr>
      </w:pPr>
    </w:p>
    <w:p w14:paraId="2B60A109" w14:textId="77777777" w:rsidR="00B3798B" w:rsidRDefault="00DB575B">
      <w:pPr>
        <w:pStyle w:val="Zkladntextodsazen"/>
        <w:spacing w:after="0" w:line="240" w:lineRule="auto"/>
        <w:ind w:left="0"/>
        <w:jc w:val="both"/>
        <w:rPr>
          <w:rFonts w:cstheme="minorHAnsi"/>
          <w:bCs/>
        </w:rPr>
      </w:pPr>
      <w:r>
        <w:rPr>
          <w:rFonts w:cstheme="minorHAnsi"/>
          <w:bCs/>
        </w:rPr>
        <w:t>Prosím o doplnění projektové dokumentace a výkazu výměr.</w:t>
      </w:r>
    </w:p>
    <w:p w14:paraId="09E711EC" w14:textId="77777777" w:rsidR="00DB575B" w:rsidRDefault="00DB575B" w:rsidP="00DB575B">
      <w:pPr>
        <w:pStyle w:val="Zkladntextodsazen"/>
        <w:spacing w:after="0" w:line="240" w:lineRule="auto"/>
        <w:ind w:left="0"/>
        <w:jc w:val="both"/>
        <w:rPr>
          <w:rFonts w:cstheme="minorHAnsi"/>
          <w:bCs/>
        </w:rPr>
      </w:pPr>
      <w:r>
        <w:rPr>
          <w:rFonts w:cstheme="minorHAnsi"/>
          <w:bCs/>
        </w:rPr>
        <w:lastRenderedPageBreak/>
        <w:t>Zadavatel uvádí, že v rámci odpovědí na dotazy bylo ze strany GP provedeno</w:t>
      </w:r>
    </w:p>
    <w:p w14:paraId="00A73DEA" w14:textId="77777777" w:rsidR="00DB575B" w:rsidRDefault="00DB575B" w:rsidP="00DB575B">
      <w:pPr>
        <w:pStyle w:val="Zkladntextodsazen"/>
        <w:spacing w:after="0" w:line="240" w:lineRule="auto"/>
        <w:ind w:left="0"/>
        <w:jc w:val="both"/>
        <w:rPr>
          <w:rFonts w:cstheme="minorHAnsi"/>
          <w:bCs/>
        </w:rPr>
      </w:pPr>
    </w:p>
    <w:p w14:paraId="2AFEEFCF" w14:textId="77777777" w:rsidR="00DB575B" w:rsidRDefault="00DB575B" w:rsidP="00DB575B">
      <w:pPr>
        <w:pStyle w:val="Zkladntextodsazen"/>
        <w:spacing w:after="0" w:line="240" w:lineRule="auto"/>
        <w:ind w:left="0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1/ Vloženy odpovědi na dotazy vepsáním do formuláře k otázkám přímo, modrým textem. </w:t>
      </w:r>
    </w:p>
    <w:p w14:paraId="11429BB7" w14:textId="77777777" w:rsidR="00DB575B" w:rsidRDefault="00DB575B" w:rsidP="00DB575B">
      <w:pPr>
        <w:pStyle w:val="Zkladntextodsazen"/>
        <w:spacing w:after="0" w:line="240" w:lineRule="auto"/>
        <w:ind w:left="0"/>
        <w:jc w:val="both"/>
        <w:rPr>
          <w:rFonts w:cstheme="minorHAnsi"/>
          <w:bCs/>
        </w:rPr>
      </w:pPr>
      <w:r>
        <w:rPr>
          <w:rFonts w:cstheme="minorHAnsi"/>
          <w:bCs/>
        </w:rPr>
        <w:t>2/ Doplněny pomocné printscreeny z výkresové a textové části PD – pro snazší vyhledání; pouze Masarykova 14</w:t>
      </w:r>
    </w:p>
    <w:p w14:paraId="435C6D58" w14:textId="77777777" w:rsidR="00DB575B" w:rsidRDefault="00DB575B" w:rsidP="00DB575B">
      <w:pPr>
        <w:pStyle w:val="Zkladntextodsazen"/>
        <w:spacing w:after="0" w:line="240" w:lineRule="auto"/>
        <w:ind w:left="0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3/ Upraven výkaz pro Masarykova 14; pouze </w:t>
      </w:r>
      <w:proofErr w:type="spellStart"/>
      <w:r>
        <w:rPr>
          <w:rFonts w:cstheme="minorHAnsi"/>
          <w:bCs/>
        </w:rPr>
        <w:t>znulování</w:t>
      </w:r>
      <w:proofErr w:type="spellEnd"/>
      <w:r>
        <w:rPr>
          <w:rFonts w:cstheme="minorHAnsi"/>
          <w:bCs/>
        </w:rPr>
        <w:t xml:space="preserve"> množství položky č. 36 výkazu</w:t>
      </w:r>
    </w:p>
    <w:p w14:paraId="76C60E28" w14:textId="77777777" w:rsidR="00B3798B" w:rsidRDefault="00B3798B">
      <w:pPr>
        <w:pStyle w:val="Zkladntextodsazen"/>
        <w:tabs>
          <w:tab w:val="left" w:pos="284"/>
        </w:tabs>
        <w:spacing w:after="0" w:line="240" w:lineRule="auto"/>
        <w:ind w:left="0"/>
        <w:jc w:val="both"/>
        <w:rPr>
          <w:rFonts w:cstheme="minorHAnsi"/>
          <w:bCs/>
          <w:color w:val="0070C0"/>
        </w:rPr>
      </w:pPr>
    </w:p>
    <w:bookmarkEnd w:id="0"/>
    <w:bookmarkEnd w:id="1"/>
    <w:bookmarkEnd w:id="2"/>
    <w:bookmarkEnd w:id="4"/>
    <w:p w14:paraId="271A0F7E" w14:textId="77777777" w:rsidR="00B3798B" w:rsidRDefault="00B3798B">
      <w:pPr>
        <w:spacing w:after="0" w:line="240" w:lineRule="auto"/>
        <w:jc w:val="both"/>
        <w:rPr>
          <w:rFonts w:cstheme="minorHAnsi"/>
        </w:rPr>
      </w:pPr>
    </w:p>
    <w:sectPr w:rsidR="00B3798B">
      <w:headerReference w:type="even" r:id="rId8"/>
      <w:pgSz w:w="11906" w:h="16838" w:code="9"/>
      <w:pgMar w:top="1418" w:right="907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2DC2F8" w14:textId="77777777" w:rsidR="00B3798B" w:rsidRDefault="00DB575B">
      <w:pPr>
        <w:spacing w:after="0" w:line="240" w:lineRule="auto"/>
      </w:pPr>
      <w:r>
        <w:separator/>
      </w:r>
    </w:p>
  </w:endnote>
  <w:endnote w:type="continuationSeparator" w:id="0">
    <w:p w14:paraId="0A455C5E" w14:textId="77777777" w:rsidR="00B3798B" w:rsidRDefault="00DB5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opo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E"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D10B19" w14:textId="77777777" w:rsidR="00B3798B" w:rsidRDefault="00DB575B">
      <w:pPr>
        <w:spacing w:after="0" w:line="240" w:lineRule="auto"/>
      </w:pPr>
      <w:r>
        <w:separator/>
      </w:r>
    </w:p>
  </w:footnote>
  <w:footnote w:type="continuationSeparator" w:id="0">
    <w:p w14:paraId="683EFEF8" w14:textId="77777777" w:rsidR="00B3798B" w:rsidRDefault="00DB5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110FE" w14:textId="77777777" w:rsidR="00B3798B" w:rsidRDefault="00DB575B">
    <w:pPr>
      <w:pStyle w:val="Zhlav"/>
    </w:pPr>
    <w:r>
      <w:rPr>
        <w:noProof/>
        <w:lang w:eastAsia="cs-CZ"/>
      </w:rPr>
      <w:pict w14:anchorId="172D56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681039" o:spid="_x0000_s2056" type="#_x0000_t75" style="position:absolute;margin-left:0;margin-top:0;width:594.7pt;height:842.4pt;z-index:-251658752;mso-position-horizontal:center;mso-position-horizontal-relative:margin;mso-position-vertical:center;mso-position-vertical-relative:margin" o:allowincell="f">
          <v:imagedata r:id="rId1" o:title="hl papir 6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608D2"/>
    <w:multiLevelType w:val="multilevel"/>
    <w:tmpl w:val="90769C10"/>
    <w:lvl w:ilvl="0">
      <w:start w:val="1"/>
      <w:numFmt w:val="decimal"/>
      <w:pStyle w:val="JKNadpis1"/>
      <w:suff w:val="space"/>
      <w:lvlText w:val="%1."/>
      <w:lvlJc w:val="left"/>
      <w:pPr>
        <w:ind w:left="0" w:firstLine="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pStyle w:val="JKNadpis2"/>
      <w:lvlText w:val="%2)"/>
      <w:lvlJc w:val="left"/>
      <w:pPr>
        <w:tabs>
          <w:tab w:val="num" w:pos="644"/>
        </w:tabs>
        <w:ind w:left="284" w:firstLine="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JKNadpis3"/>
      <w:lvlText w:val="%3)"/>
      <w:lvlJc w:val="left"/>
      <w:pPr>
        <w:tabs>
          <w:tab w:val="num" w:pos="700"/>
        </w:tabs>
        <w:ind w:left="680" w:hanging="34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příloha č. %5 -"/>
      <w:lvlJc w:val="left"/>
      <w:pPr>
        <w:tabs>
          <w:tab w:val="num" w:pos="2880"/>
        </w:tabs>
        <w:ind w:left="1800" w:hanging="360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F252387"/>
    <w:multiLevelType w:val="hybridMultilevel"/>
    <w:tmpl w:val="AB904A8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105AD4"/>
    <w:multiLevelType w:val="hybridMultilevel"/>
    <w:tmpl w:val="2A928BA2"/>
    <w:lvl w:ilvl="0" w:tplc="0405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2463594"/>
    <w:multiLevelType w:val="hybridMultilevel"/>
    <w:tmpl w:val="429E2D44"/>
    <w:lvl w:ilvl="0" w:tplc="065448E6">
      <w:start w:val="1"/>
      <w:numFmt w:val="decimal"/>
      <w:lvlText w:val="%1."/>
      <w:lvlJc w:val="left"/>
      <w:pPr>
        <w:ind w:left="780" w:hanging="360"/>
      </w:pPr>
      <w:rPr>
        <w:rFonts w:ascii="Arial" w:hAnsi="Arial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C1037D1"/>
    <w:multiLevelType w:val="hybridMultilevel"/>
    <w:tmpl w:val="3284714C"/>
    <w:lvl w:ilvl="0" w:tplc="FBA2295A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0EC39E0"/>
    <w:multiLevelType w:val="hybridMultilevel"/>
    <w:tmpl w:val="E910C502"/>
    <w:lvl w:ilvl="0" w:tplc="FBA2295A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56A0989"/>
    <w:multiLevelType w:val="hybridMultilevel"/>
    <w:tmpl w:val="12CC901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D63A3F"/>
    <w:multiLevelType w:val="hybridMultilevel"/>
    <w:tmpl w:val="61FC7A6C"/>
    <w:lvl w:ilvl="0" w:tplc="FBA2295A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E143BE8"/>
    <w:multiLevelType w:val="hybridMultilevel"/>
    <w:tmpl w:val="02F6F26A"/>
    <w:lvl w:ilvl="0" w:tplc="FBA2295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4394C79"/>
    <w:multiLevelType w:val="hybridMultilevel"/>
    <w:tmpl w:val="0CB002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84005"/>
    <w:multiLevelType w:val="hybridMultilevel"/>
    <w:tmpl w:val="6016A7EC"/>
    <w:lvl w:ilvl="0" w:tplc="48C87F86">
      <w:start w:val="1"/>
      <w:numFmt w:val="bullet"/>
      <w:lvlText w:val="-"/>
      <w:lvlJc w:val="left"/>
      <w:pPr>
        <w:ind w:left="142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5B564244"/>
    <w:multiLevelType w:val="hybridMultilevel"/>
    <w:tmpl w:val="FCBC4BDA"/>
    <w:lvl w:ilvl="0" w:tplc="FBA2295A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5DC34400"/>
    <w:multiLevelType w:val="hybridMultilevel"/>
    <w:tmpl w:val="AD28803E"/>
    <w:lvl w:ilvl="0" w:tplc="3BB8591A">
      <w:start w:val="1"/>
      <w:numFmt w:val="decimal"/>
      <w:lvlText w:val="%1."/>
      <w:lvlJc w:val="left"/>
      <w:pPr>
        <w:ind w:left="16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6D940AE1"/>
    <w:multiLevelType w:val="hybridMultilevel"/>
    <w:tmpl w:val="1134759E"/>
    <w:lvl w:ilvl="0" w:tplc="48C87F8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2752A9"/>
    <w:multiLevelType w:val="hybridMultilevel"/>
    <w:tmpl w:val="C06EBD1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7"/>
  </w:num>
  <w:num w:numId="9">
    <w:abstractNumId w:val="5"/>
  </w:num>
  <w:num w:numId="10">
    <w:abstractNumId w:val="4"/>
  </w:num>
  <w:num w:numId="11">
    <w:abstractNumId w:val="8"/>
  </w:num>
  <w:num w:numId="12">
    <w:abstractNumId w:val="11"/>
  </w:num>
  <w:num w:numId="13">
    <w:abstractNumId w:val="10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7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98B"/>
    <w:rsid w:val="00B3798B"/>
    <w:rsid w:val="00DB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2E4A613"/>
  <w15:docId w15:val="{86F70C3E-2447-426A-86C1-0FB17A912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pPr>
      <w:keepNext/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val="de-DE"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</w:style>
  <w:style w:type="character" w:customStyle="1" w:styleId="Nadpis1Char">
    <w:name w:val="Nadpis 1 Char"/>
    <w:basedOn w:val="Standardnpsmoodstavce"/>
    <w:link w:val="Nadpis1"/>
    <w:rPr>
      <w:rFonts w:ascii="Arial" w:eastAsia="Times New Roman" w:hAnsi="Arial" w:cs="Times New Roman"/>
      <w:sz w:val="24"/>
      <w:szCs w:val="20"/>
      <w:lang w:val="de-DE" w:eastAsia="cs-CZ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link w:val="ZkladntextChar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</w:style>
  <w:style w:type="paragraph" w:styleId="Zkladntext2">
    <w:name w:val="Body Text 2"/>
    <w:basedOn w:val="Normln"/>
    <w:link w:val="Zkladntext2Char"/>
    <w:uiPriority w:val="99"/>
    <w:semiHidden/>
    <w:unhideWhenUsed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</w:style>
  <w:style w:type="paragraph" w:customStyle="1" w:styleId="JKNadpis1">
    <w:name w:val="JK_Nadpis 1"/>
    <w:basedOn w:val="Normln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KNadpis2">
    <w:name w:val="JK_Nadpis 2"/>
    <w:basedOn w:val="Normln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JKNadpis3">
    <w:name w:val="JK_Nadpis 3"/>
    <w:basedOn w:val="Normln"/>
    <w:pPr>
      <w:numPr>
        <w:ilvl w:val="2"/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pPr>
      <w:spacing w:before="100" w:beforeAutospacing="1" w:after="100" w:afterAutospacing="1" w:line="240" w:lineRule="auto"/>
    </w:pPr>
    <w:rPr>
      <w:rFonts w:ascii="Calibri" w:hAnsi="Calibri" w:cs="Calibri"/>
      <w:color w:val="000000"/>
      <w:lang w:eastAsia="cs-CZ"/>
    </w:rPr>
  </w:style>
  <w:style w:type="character" w:customStyle="1" w:styleId="WW-Absatz-Standardschriftart111111">
    <w:name w:val="WW-Absatz-Standardschriftart111111"/>
  </w:style>
  <w:style w:type="paragraph" w:customStyle="1" w:styleId="ZkladntextIMP1">
    <w:name w:val="Základní text_IMP1"/>
    <w:basedOn w:val="Normln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4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8D39A-7DFE-4C9B-A4DE-80B3C573F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Jana Sadílková</cp:lastModifiedBy>
  <cp:revision>3</cp:revision>
  <cp:lastPrinted>2020-09-03T07:59:00Z</cp:lastPrinted>
  <dcterms:created xsi:type="dcterms:W3CDTF">2020-09-10T11:43:00Z</dcterms:created>
  <dcterms:modified xsi:type="dcterms:W3CDTF">2020-09-11T06:17:00Z</dcterms:modified>
</cp:coreProperties>
</file>